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sz w:val="26"/>
          <w:szCs w:val="26"/>
        </w:rPr>
      </w:pPr>
      <w:bookmarkStart w:id="0" w:name="_Hlk155770254"/>
      <w:r>
        <w:rPr>
          <w:rFonts w:cs="Tahoma" w:ascii="Tahoma" w:hAnsi="Tahoma"/>
          <w:b/>
          <w:bCs/>
          <w:sz w:val="26"/>
          <w:szCs w:val="26"/>
        </w:rPr>
        <w:t xml:space="preserve">Standardy ochrony małoletnich w </w:t>
      </w:r>
      <w:r>
        <w:rPr>
          <w:rFonts w:cs="Tahoma" w:ascii="Tahoma" w:hAnsi="Tahoma"/>
          <w:b/>
          <w:bCs/>
          <w:sz w:val="26"/>
          <w:szCs w:val="26"/>
        </w:rPr>
        <w:t>Niepublicznym Leśnym Przedszkolu „Listowie”</w:t>
      </w:r>
      <w:bookmarkEnd w:id="0"/>
    </w:p>
    <w:p>
      <w:pPr>
        <w:pStyle w:val="Normal"/>
        <w:spacing w:lineRule="auto" w:line="36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sectPr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cs="Tahoma" w:ascii="Tahoma" w:hAnsi="Tahoma"/>
          <w:b/>
          <w:bCs/>
          <w:sz w:val="24"/>
          <w:szCs w:val="24"/>
        </w:rPr>
        <w:t>Giżycko</w:t>
      </w:r>
      <w:r>
        <w:rPr>
          <w:rFonts w:cs="Tahoma" w:ascii="Tahoma" w:hAnsi="Tahoma"/>
          <w:b/>
          <w:bCs/>
          <w:sz w:val="24"/>
          <w:szCs w:val="24"/>
        </w:rPr>
        <w:t xml:space="preserve">, </w:t>
      </w:r>
      <w:r>
        <w:rPr>
          <w:rFonts w:cs="Tahoma" w:ascii="Tahoma" w:hAnsi="Tahoma"/>
          <w:b/>
          <w:bCs/>
          <w:sz w:val="24"/>
          <w:szCs w:val="24"/>
        </w:rPr>
        <w:t>2</w:t>
      </w:r>
      <w:r>
        <w:rPr>
          <w:rFonts w:cs="Tahoma" w:ascii="Tahoma" w:hAnsi="Tahoma"/>
          <w:b/>
          <w:bCs/>
          <w:sz w:val="24"/>
          <w:szCs w:val="24"/>
        </w:rPr>
        <w:t xml:space="preserve"> stycznia 202</w:t>
      </w:r>
      <w:r>
        <w:rPr>
          <w:rFonts w:cs="Tahoma" w:ascii="Tahoma" w:hAnsi="Tahoma"/>
          <w:b/>
          <w:bCs/>
          <w:sz w:val="24"/>
          <w:szCs w:val="24"/>
        </w:rPr>
        <w:t xml:space="preserve">6 </w:t>
      </w:r>
      <w:r>
        <w:rPr>
          <w:rFonts w:cs="Tahoma" w:ascii="Tahoma" w:hAnsi="Tahoma"/>
          <w:b/>
          <w:bCs/>
          <w:sz w:val="24"/>
          <w:szCs w:val="24"/>
        </w:rPr>
        <w:t>roku</w:t>
      </w:r>
    </w:p>
    <w:p>
      <w:pPr>
        <w:pStyle w:val="Normal"/>
        <w:spacing w:lineRule="auto" w:line="360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SPIS TREŚCI</w:t>
      </w:r>
    </w:p>
    <w:sdt>
      <w:sdtPr>
        <w:docPartObj>
          <w:docPartGallery w:val="Table of Contents"/>
          <w:docPartUnique w:val="true"/>
        </w:docPartObj>
        <w:id w:val="1927527839"/>
      </w:sdtPr>
      <w:sdtContent>
        <w:p>
          <w:pPr>
            <w:pStyle w:val="Nagwekspisutreci"/>
            <w:spacing w:lineRule="auto" w:line="360"/>
            <w:rPr>
              <w:rFonts w:ascii="Tahoma" w:hAnsi="Tahoma" w:cs="Tahoma"/>
              <w:sz w:val="20"/>
              <w:szCs w:val="20"/>
            </w:rPr>
          </w:pPr>
          <w:r>
            <w:rPr>
              <w:rFonts w:cs="Tahoma" w:ascii="Tahoma" w:hAnsi="Tahoma"/>
              <w:sz w:val="20"/>
              <w:szCs w:val="20"/>
            </w:rPr>
          </w:r>
        </w:p>
        <w:p>
          <w:pPr>
            <w:pStyle w:val="Spistreci1"/>
            <w:rPr/>
          </w:pPr>
          <w:r>
            <w:fldChar w:fldCharType="begin"/>
          </w:r>
          <w:r>
            <w:rPr>
              <w:webHidden/>
              <w:rStyle w:val="Czeindeksu"/>
              <w:sz w:val="20"/>
              <w:b/>
              <w:szCs w:val="20"/>
              <w:bCs/>
              <w:rFonts w:cs="Tahoma" w:ascii="Tahoma" w:hAnsi="Tahoma"/>
            </w:rPr>
            <w:instrText xml:space="preserve"> TOC \z \o "1-3" \u \h</w:instrText>
          </w:r>
          <w:r>
            <w:rPr>
              <w:webHidden/>
              <w:rStyle w:val="Czeindeksu"/>
              <w:sz w:val="20"/>
              <w:b/>
              <w:szCs w:val="20"/>
              <w:bCs/>
              <w:rFonts w:cs="Tahoma" w:ascii="Tahoma" w:hAnsi="Tahoma"/>
            </w:rPr>
            <w:fldChar w:fldCharType="separate"/>
          </w:r>
          <w:hyperlink w:anchor="_Toc156466587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PREAMBUŁA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_Toc156466587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88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SŁOWNICZEK TERMINÓW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_Toc156466588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89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I STANDARDY OCHRONY MAŁOLETNICH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_Toc156466589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0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II CZYNNIKI RYZYKA KRZYWDZENIA DZIECI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1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 xml:space="preserve">ROZDZIAŁ III POLITYKA OCHRONY DZIECI PRZED KRZYWDZENIEM - </w:t>
            </w:r>
            <w:r>
              <w:rPr>
                <w:rStyle w:val="Czeindeksu"/>
                <w:rFonts w:cs="Tahoma" w:ascii="Tahoma" w:hAnsi="Tahoma"/>
                <w:sz w:val="20"/>
                <w:szCs w:val="20"/>
              </w:rPr>
              <w:t>Procedury interwencji w przypadku podejrzenia krzywdzenia lub posiadania informacji o krzywdzeniu dziecka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_Toc156466591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2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IV ZASADY BEZPIECZNYCH RELACJI PERSONEL–DZIECKO ORAZ DZIECKO-DZIECKO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_Toc156466592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3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V ZASADY OCHRONY DANYCH OSOBOWYCH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_Toc156466593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4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VI ZASADY OCHRONY WIZERUNKU DZIECKA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_Toc156466594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5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VII ZASADY BEZPIECZNEGO KORZYSTANIA Z INTERNETU I MEDIÓW ELEKTRONICZNYCH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_Toc156466595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6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VIII MONITORING STOSOWANIA STANDARÓW OCHRONY MAŁOLETNICH PRZED KRZYWDZENIEM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_Toc156466596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rPr/>
          </w:pPr>
          <w:hyperlink w:anchor="_Toc156466597">
            <w:r>
              <w:rPr>
                <w:webHidden/>
                <w:rStyle w:val="Czeindeksu"/>
                <w:rFonts w:cs="Tahoma" w:ascii="Tahoma" w:hAnsi="Tahoma"/>
                <w:b/>
                <w:bCs/>
                <w:sz w:val="20"/>
                <w:szCs w:val="20"/>
              </w:rPr>
              <w:t>ROZDZIAŁ IX PRZEPISY KOŃCOWE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_Toc156466597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0"/>
                <w:szCs w:val="20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  <w:r>
            <w:rPr>
              <w:rStyle w:val="Czeindeksu"/>
              <w:sz w:val="20"/>
              <w:szCs w:val="20"/>
              <w:vanish w:val="false"/>
            </w:rPr>
            <w:fldChar w:fldCharType="end"/>
          </w:r>
        </w:p>
      </w:sdtContent>
    </w:sdt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  <w:r>
        <w:br w:type="page"/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1" w:name="_Toc156466587"/>
      <w:commentRangeStart w:id="0"/>
      <w:r>
        <w:rPr>
          <w:rFonts w:cs="Tahoma" w:ascii="Tahoma" w:hAnsi="Tahoma"/>
          <w:b/>
          <w:bCs/>
          <w:color w:val="auto"/>
          <w:sz w:val="20"/>
          <w:szCs w:val="20"/>
        </w:rPr>
        <w:t>PREAMBUŁA</w:t>
      </w:r>
      <w:bookmarkEnd w:id="1"/>
      <w:commentRangeEnd w:id="0"/>
      <w:r>
        <w:commentReference w:id="0"/>
      </w:r>
      <w:r>
        <w:rPr>
          <w:rFonts w:cs="Tahoma" w:ascii="Tahoma" w:hAnsi="Tahoma"/>
          <w:b/>
          <w:bCs/>
          <w:color w:val="auto"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Ochrona małoletnich i zapewnienie im najlepszych możliwych warunków do rozwoju przyświeca pracownikom placówki przy wypełnianiu ich funkcji w każdym czasie. Najważniejszymi wartościami leżącymi u podstaw wszelakich działań podejmowanych przez pracowników placówki jest bezpieczeństwo, szacunek, godność i dobro dziecka. 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W reakcji na działania ustawodawcy w postaci wprowadzenia ustawy z dnia 28 lipca 2023 r. o zmianie ustawy – Kodeks rodzinny i opiekuńczy oraz niektórych innych ustaw (Dz. U. z 2023 r. poz. 1606) zmieniające dotychczasową ustawę z dnia 13 maja 2016 r. o przeciwdziałaniu zagrożeniom przestępczością na tle seksualnym, której tytuł na mocy tychże zmian otrzymuje brzmienie „o przeciwdziałaniu zagrożeniom przestępczością na tle seksualnym i ochronie małoletnich” (tekst jedn.: Dz. U. z 2023 r. poz. 1304 z późn. zm.) placówka niniejszym wprowadza Standardy Ochrony małoletnich mające na celu zaimplementowanie działań nacelowanych na ochronę dzieci przed wszelkimi przejawami i formami przemocy. 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Standardy Ochrony Małoletnich w placówce wyznaczają zasady zapobiegania krzywdzeniu dzieci, procedury interwencji w przypadkach podejrzenia krzywdzenia lub krzywdzenia dziecka, a także działania profilaktyczne mające na celu przeciwdziałanie naruszeniom dobra dziecka. 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Czynności podejmowane przez personel placówki znajdują oparcie w przepisach prawa powszechnego oraz przepisach wewnętrznych placówki. </w:t>
      </w:r>
    </w:p>
    <w:p>
      <w:pPr>
        <w:sectPr>
          <w:footerReference w:type="default" r:id="rId2"/>
          <w:type w:val="nextPage"/>
          <w:pgSz w:w="11906" w:h="16838"/>
          <w:pgMar w:left="1417" w:right="1417" w:gutter="0" w:header="0" w:top="1417" w:footer="708" w:bottom="1417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Personel placówki zna i stosuje zasady zawarte w niniejszych Standardach. </w:t>
      </w:r>
      <w:r>
        <w:rPr>
          <w:rFonts w:eastAsia="Calibri" w:cs="Tahoma" w:ascii="Tahoma" w:hAnsi="Tahoma"/>
          <w:kern w:val="0"/>
          <w:sz w:val="20"/>
          <w:szCs w:val="20"/>
          <w14:ligatures w14:val="none"/>
        </w:rPr>
        <w:t>Małoletni i ich opiekunowie są zapoznawani z treścią Standardów Ochrony Małoletnich w szczególności poprzez wdrażane przez personel placówki działania edukacyjne i informacyjne.</w:t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2" w:name="_Toc156466588"/>
      <w:r>
        <w:rPr>
          <w:rFonts w:cs="Tahoma" w:ascii="Tahoma" w:hAnsi="Tahoma"/>
          <w:b/>
          <w:bCs/>
          <w:color w:val="auto"/>
          <w:sz w:val="20"/>
          <w:szCs w:val="20"/>
        </w:rPr>
        <w:t>SŁOWNICZEK TERMINÓW</w:t>
      </w:r>
      <w:bookmarkEnd w:id="2"/>
    </w:p>
    <w:p>
      <w:pPr>
        <w:pStyle w:val="Normal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Dane osobowe dziecka</w:t>
      </w:r>
      <w:r>
        <w:rPr>
          <w:rFonts w:cs="Tahoma" w:ascii="Tahoma" w:hAnsi="Tahoma"/>
          <w:sz w:val="20"/>
          <w:szCs w:val="20"/>
        </w:rPr>
        <w:t xml:space="preserve"> – wszelkiego rodzaju informacje umożliwiające identyfikację dziecka, niezależnie od źródła ich pochodzenia.</w:t>
      </w:r>
    </w:p>
    <w:p>
      <w:pPr>
        <w:pStyle w:val="Normal"/>
        <w:spacing w:lineRule="auto" w:line="360"/>
        <w:jc w:val="both"/>
        <w:rPr>
          <w:color w:val="000000"/>
          <w:sz w:val="20"/>
          <w:szCs w:val="20"/>
        </w:rPr>
      </w:pPr>
      <w:r>
        <w:rPr>
          <w:rFonts w:cs="Tahoma" w:ascii="Tahoma" w:hAnsi="Tahoma"/>
          <w:b/>
          <w:bCs/>
          <w:color w:val="000000"/>
          <w:sz w:val="20"/>
          <w:szCs w:val="20"/>
        </w:rPr>
        <w:t xml:space="preserve">Dyrektor </w:t>
      </w:r>
      <w:r>
        <w:rPr>
          <w:rFonts w:cs="Tahoma" w:ascii="Tahoma" w:hAnsi="Tahoma"/>
          <w:color w:val="000000"/>
          <w:sz w:val="20"/>
          <w:szCs w:val="20"/>
        </w:rPr>
        <w:t xml:space="preserve"> – dyrektor </w:t>
      </w:r>
      <w:r>
        <w:rPr>
          <w:rFonts w:cs="Tahoma" w:ascii="Tahoma" w:hAnsi="Tahoma"/>
          <w:color w:val="000000"/>
          <w:sz w:val="20"/>
          <w:szCs w:val="20"/>
        </w:rPr>
        <w:t>Niepublicznego Leśnego Przedszkola ‘Listowie”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Dziecko</w:t>
      </w:r>
      <w:r>
        <w:rPr>
          <w:rFonts w:cs="Tahoma" w:ascii="Tahoma" w:hAnsi="Tahoma"/>
          <w:sz w:val="20"/>
          <w:szCs w:val="20"/>
        </w:rPr>
        <w:t xml:space="preserve"> (dalej także: małoletni) – osoba, która nie ukończyła 18 roku życia.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Krzywdzenie dziecka</w:t>
      </w:r>
      <w:r>
        <w:rPr>
          <w:rFonts w:cs="Tahoma" w:ascii="Tahoma" w:hAnsi="Tahoma"/>
          <w:sz w:val="20"/>
          <w:szCs w:val="20"/>
        </w:rPr>
        <w:t xml:space="preserve"> -  popełnienie czynu zabronionego lub czynu karalnego na szkodę dziecka przez jakąkolwiek osobę, w tym pracownika placówki, lub zagrożenie dobra dziecka, w tym jego zaniedbywanie.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Opiekun dziecka</w:t>
      </w:r>
      <w:r>
        <w:rPr>
          <w:rFonts w:cs="Tahoma" w:ascii="Tahoma" w:hAnsi="Tahoma"/>
          <w:sz w:val="20"/>
          <w:szCs w:val="20"/>
        </w:rPr>
        <w:t xml:space="preserve"> - osoba uprawniona do reprezentacji dziecka, w tym rodzic (także rodzic zastępczy) lub opiekun prawny.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Osoba odpowiedzialna za internet</w:t>
      </w:r>
      <w:r>
        <w:rPr>
          <w:rFonts w:cs="Tahoma" w:ascii="Tahoma" w:hAnsi="Tahoma"/>
          <w:sz w:val="20"/>
          <w:szCs w:val="20"/>
        </w:rPr>
        <w:t xml:space="preserve"> - wyznaczony przez dyrektora pracownik, nadzorujący korzystanie z internetu przez dzieci na terenie placówki oraz nad ich bezpieczeństwem w internecie.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Osoba odpowiedzialna za Standardy Ochrony Małoletnich</w:t>
      </w:r>
      <w:r>
        <w:rPr>
          <w:rFonts w:cs="Tahoma" w:ascii="Tahoma" w:hAnsi="Tahoma"/>
          <w:sz w:val="20"/>
          <w:szCs w:val="20"/>
        </w:rPr>
        <w:t xml:space="preserve"> –  osoba wyznaczona sprawująca nadzór nad realizacją niniejszych Standardów Ochrony Małoletnich w placówce.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Personel</w:t>
      </w:r>
      <w:r>
        <w:rPr>
          <w:rFonts w:cs="Tahoma" w:ascii="Tahoma" w:hAnsi="Tahoma"/>
          <w:sz w:val="20"/>
          <w:szCs w:val="20"/>
        </w:rPr>
        <w:t xml:space="preserve"> (dalej także: pracownik) - osoba świadcząca pracę w placówce, bez względu na formę zatrudnienia, w tym współpracownik, stażysta, wolontariusz lub inna osoba, która ma bądź może mieć kontakt z dziećmi.</w:t>
      </w:r>
    </w:p>
    <w:p>
      <w:pPr>
        <w:pStyle w:val="Normal"/>
        <w:spacing w:lineRule="auto" w:line="360"/>
        <w:ind w:left="708" w:hanging="708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Placówka</w:t>
      </w:r>
      <w:r>
        <w:rPr>
          <w:rFonts w:cs="Tahoma" w:ascii="Tahoma" w:hAnsi="Tahoma"/>
          <w:sz w:val="20"/>
          <w:szCs w:val="20"/>
        </w:rPr>
        <w:t xml:space="preserve"> - (dalej także: przedszkole) –</w:t>
      </w:r>
      <w:r>
        <w:rPr>
          <w:rFonts w:cs="Tahoma" w:ascii="Tahoma" w:hAnsi="Tahoma"/>
          <w:color w:val="000000"/>
          <w:sz w:val="20"/>
          <w:szCs w:val="20"/>
        </w:rPr>
        <w:t xml:space="preserve"> </w:t>
      </w:r>
      <w:r>
        <w:rPr>
          <w:rFonts w:cs="Tahoma" w:ascii="Tahoma" w:hAnsi="Tahoma"/>
          <w:color w:val="000000"/>
          <w:sz w:val="20"/>
          <w:szCs w:val="20"/>
        </w:rPr>
        <w:t>Niepubliczne Leśne Przedszkole „Listowie” ul. Traugutta 12, 11–500 Giżycko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Przemoc</w:t>
      </w:r>
      <w:r>
        <w:rPr>
          <w:rFonts w:cs="Tahoma" w:ascii="Tahoma" w:hAnsi="Tahoma"/>
          <w:sz w:val="20"/>
          <w:szCs w:val="20"/>
        </w:rPr>
        <w:t xml:space="preserve"> – wszelkie przejawy przemocy fizycznej, psychicznej oraz seksualnej, w tym także przemocy domowej.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Wizerunek</w:t>
      </w:r>
      <w:r>
        <w:rPr>
          <w:rFonts w:cs="Tahoma" w:ascii="Tahoma" w:hAnsi="Tahoma"/>
          <w:sz w:val="20"/>
          <w:szCs w:val="20"/>
        </w:rPr>
        <w:t xml:space="preserve"> - wizualne ukazanie zespołu charakterystycznych dla danej osoby cech fizycznych, poprzez które uzyskuje się wyobrażenie o jej wyglądzie, umożliwiających zidentyfikowanie danej osoby jako konkretną jednostkę fizyczną.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Zaniedbywanie</w:t>
      </w:r>
      <w:r>
        <w:rPr>
          <w:rFonts w:cs="Tahoma" w:ascii="Tahoma" w:hAnsi="Tahoma"/>
          <w:sz w:val="20"/>
          <w:szCs w:val="20"/>
        </w:rPr>
        <w:t xml:space="preserve"> - niezapewnianie odpowiednich warunków do rozwoju dziecka w sferze zdrowotnej, edukacyjnej i emocjonalnej, odpowiedniego odżywiania, schronienia i bezpieczeństwa, w ramach środków dostępnych rodzicom lub opiekunom, i w następstwie powodujące lub mogące powodować uszczerbek na zdrowiu dziecka lub zaburzenie rozwoju psychicznego, moralnego lub społecznego. Formami zaniedbania są: zaniedbanie fizyczne (ekonomiczne, zdrowotne), emocjonalne, edukacyjne (intelektualne).</w:t>
      </w:r>
    </w:p>
    <w:p>
      <w:pPr>
        <w:sectPr>
          <w:footerReference w:type="default" r:id="rId3"/>
          <w:type w:val="nextPage"/>
          <w:pgSz w:w="11906" w:h="16838"/>
          <w:pgMar w:left="1417" w:right="1417" w:gutter="0" w:header="0" w:top="1417" w:footer="708" w:bottom="1417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Zgoda opiekuna</w:t>
      </w:r>
      <w:r>
        <w:rPr>
          <w:rFonts w:cs="Tahoma" w:ascii="Tahoma" w:hAnsi="Tahoma"/>
          <w:sz w:val="20"/>
          <w:szCs w:val="20"/>
        </w:rPr>
        <w:t xml:space="preserve"> - zgoda co najmniej jednego z opiekunów dziecka. W braku porozumienia między opiekunami dziecka należy ich poinformować  o konieczności rozstrzygnięcia sprawy przez sąd rodzinny.</w:t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3" w:name="_Toc156466589"/>
      <w:r>
        <w:rPr>
          <w:rFonts w:cs="Tahoma" w:ascii="Tahoma" w:hAnsi="Tahoma"/>
          <w:b/>
          <w:bCs/>
          <w:color w:val="auto"/>
          <w:sz w:val="20"/>
          <w:szCs w:val="20"/>
        </w:rPr>
        <w:t>ROZDZIAŁ I</w:t>
        <w:br/>
        <w:t>STANDARDY OCHRONY MAŁOLETNICH</w:t>
      </w:r>
      <w:bookmarkEnd w:id="3"/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7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Placówka ustanowiła i wprowadziła Standardy Ochrony Małoletnich.</w:t>
      </w:r>
    </w:p>
    <w:p>
      <w:pPr>
        <w:pStyle w:val="ListParagraph"/>
        <w:numPr>
          <w:ilvl w:val="0"/>
          <w:numId w:val="7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Placówka edukuje i angażuje personel placówki w celu zapobiegania krzywdzeniu dzieci.</w:t>
      </w:r>
    </w:p>
    <w:p>
      <w:pPr>
        <w:pStyle w:val="ListParagraph"/>
        <w:numPr>
          <w:ilvl w:val="0"/>
          <w:numId w:val="7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W placówce funkcjonują procedury zgłaszania podejrzenia oraz podejmowania interwencji w sytuacji zagrożenia bezpieczeństwa dziecka.</w:t>
      </w:r>
    </w:p>
    <w:p>
      <w:pPr>
        <w:pStyle w:val="ListParagraph"/>
        <w:numPr>
          <w:ilvl w:val="0"/>
          <w:numId w:val="7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Placówka monitoruje i weryfikuje zgodność podejmowanych działań z uregulowaniami zawartymi w niniejszych Standardach Ochrony Małoletnich.</w:t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4" w:name="_Toc156466590"/>
      <w:r>
        <w:rPr>
          <w:rFonts w:cs="Tahoma" w:ascii="Tahoma" w:hAnsi="Tahoma"/>
          <w:b/>
          <w:bCs/>
          <w:color w:val="auto"/>
          <w:sz w:val="20"/>
          <w:szCs w:val="20"/>
        </w:rPr>
        <w:t>ROZDZIAŁ II</w:t>
        <w:br/>
        <w:t>CZYNNIKI RYZYKA KRZYWDZENIA DZIECI</w:t>
      </w:r>
      <w:bookmarkEnd w:id="4"/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Personel przedszkola zna czynniki ryzyka i symptomy krzywdzenia dzieci. Pracownicy placówki pogłębiają swoją wiedzę w zakresie ochrony małoletnich przed krzywdzeniem.</w:t>
      </w:r>
    </w:p>
    <w:p>
      <w:pPr>
        <w:pStyle w:val="ListParagraph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Personel przedszkola na bieżąco monitoruje sytuację małoletnich uczęszczających do placówki, w szczególności uwzględniając czynniki ryzyka oraz przejawy krzywdzenia dzieci.</w:t>
      </w:r>
    </w:p>
    <w:p>
      <w:pPr>
        <w:pStyle w:val="ListParagraph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W sytuacji zaistnienia czynników ryzyka krzywdzenia małoletnich personel placówki przeprowadza rozmowę z opiekunami dziecka. Pracownicy przedszkola wspierają dziecko i jego opiekunów oraz udostępniają informacje na temat dostępnych form pomocy.</w:t>
      </w:r>
    </w:p>
    <w:p>
      <w:pPr>
        <w:pStyle w:val="ListParagraph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Rekrutacja pracowników placówki następuje z poszanowaniem zasad bezpiecznej rekrutacji personelu, które stanowią </w:t>
      </w:r>
      <w:r>
        <w:rPr>
          <w:rFonts w:cs="Tahoma" w:ascii="Tahoma" w:hAnsi="Tahoma"/>
          <w:i/>
          <w:iCs/>
          <w:sz w:val="20"/>
          <w:szCs w:val="20"/>
        </w:rPr>
        <w:t>Załącznik nr 1</w:t>
      </w:r>
      <w:r>
        <w:rPr>
          <w:rFonts w:cs="Tahoma" w:ascii="Tahoma" w:hAnsi="Tahoma"/>
          <w:sz w:val="20"/>
          <w:szCs w:val="20"/>
        </w:rPr>
        <w:t xml:space="preserve"> do niniejszych Standardów.</w:t>
        <w:br/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Pracownicy placówki znają i postępują wedle ustanowionych w </w:t>
      </w:r>
      <w:bookmarkStart w:id="5" w:name="_Hlk155865085"/>
      <w:r>
        <w:rPr>
          <w:rFonts w:cs="Tahoma" w:ascii="Tahoma" w:hAnsi="Tahoma"/>
          <w:sz w:val="20"/>
          <w:szCs w:val="20"/>
        </w:rPr>
        <w:t>przedszkolu zasad bezpiecznych relacji personel – dziecko oraz dziecko – dziecko</w:t>
      </w:r>
      <w:bookmarkEnd w:id="5"/>
      <w:r>
        <w:rPr>
          <w:rFonts w:cs="Tahoma" w:ascii="Tahoma" w:hAnsi="Tahoma"/>
          <w:sz w:val="20"/>
          <w:szCs w:val="20"/>
        </w:rPr>
        <w:t xml:space="preserve">. Zasady stanowią </w:t>
      </w:r>
      <w:r>
        <w:rPr>
          <w:rFonts w:cs="Tahoma" w:ascii="Tahoma" w:hAnsi="Tahoma"/>
          <w:i/>
          <w:iCs/>
          <w:sz w:val="20"/>
          <w:szCs w:val="20"/>
        </w:rPr>
        <w:t>Załącznik nr 4</w:t>
      </w:r>
      <w:r>
        <w:rPr>
          <w:rFonts w:cs="Tahoma" w:ascii="Tahoma" w:hAnsi="Tahoma"/>
          <w:sz w:val="20"/>
          <w:szCs w:val="20"/>
        </w:rPr>
        <w:t xml:space="preserve"> oraz</w:t>
      </w:r>
      <w:r>
        <w:rPr>
          <w:rFonts w:cs="Tahoma" w:ascii="Tahoma" w:hAnsi="Tahoma"/>
          <w:i/>
          <w:iCs/>
          <w:sz w:val="20"/>
          <w:szCs w:val="20"/>
        </w:rPr>
        <w:t xml:space="preserve"> Załącznik nr 5</w:t>
      </w:r>
      <w:r>
        <w:rPr>
          <w:rFonts w:cs="Tahoma" w:ascii="Tahoma" w:hAnsi="Tahoma"/>
          <w:sz w:val="20"/>
          <w:szCs w:val="20"/>
        </w:rPr>
        <w:t xml:space="preserve">  do niniejszego dokumentu.</w:t>
      </w:r>
    </w:p>
    <w:p>
      <w:pPr>
        <w:pStyle w:val="ListParagraph"/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br/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6" w:name="_Toc156466591"/>
      <w:r>
        <w:rPr>
          <w:rFonts w:cs="Tahoma" w:ascii="Tahoma" w:hAnsi="Tahoma"/>
          <w:b/>
          <w:bCs/>
          <w:color w:val="auto"/>
          <w:sz w:val="20"/>
          <w:szCs w:val="20"/>
        </w:rPr>
        <w:t>ROZDZIAŁ III</w:t>
        <w:br/>
        <w:t xml:space="preserve">POLITYKA OCHRONY DZIECI PRZED KRZYWDZENIEM - </w:t>
      </w:r>
      <w:r>
        <w:rPr>
          <w:rFonts w:cs="Tahoma" w:ascii="Tahoma" w:hAnsi="Tahoma"/>
          <w:color w:val="auto"/>
          <w:sz w:val="20"/>
          <w:szCs w:val="20"/>
        </w:rPr>
        <w:t>Procedury interwencji w przypadku podejrzenia krzywdzenia lub posiadania informacji o krzywdzeniu dziecka</w:t>
      </w:r>
      <w:bookmarkEnd w:id="6"/>
    </w:p>
    <w:p>
      <w:pPr>
        <w:pStyle w:val="Normal"/>
        <w:spacing w:lineRule="auto" w:line="360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Personel placówki, a także inne osoby, które w związku z wykonywaniem obowiązków służbowych powzięły podejrzenie o krzywdzeniu dziecka, obowiązane są  zapewnić poufność uzyskanych informacji, wyłączając informacje przekazywane uprawnionym instytucjom w ramach działań interwencyjnych.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Pracownik placówki w sytuacji podejrzenia lub uzyskania informacji o krzywdzeniu dziecka ustala, czy wystąpiło uszkodzenia ciała dziecka oraz czy małoletni potrzebuje pomocy lekarskiej. W razie konieczności skorzystania z pomocy medycznej, pracownik placówki kontaktuje się z osobą odpowiedzialną za pomoc medyczną w przedszkolu. W przypadku podejrzenia, że życie małoletniego jest zagrożone lub grozi mu ciężki uszczerbek na zdrowiu, personel przedszkola zawiadamia odpowiednie służby (np. dzwoniąc pod numer alarmowy).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Po zidentyfikowaniu ryzyka krzywdzenia lub krzywdzenia małoletniego pracownik przedszkola niezwłocznie interweniuje i zatrzymuje krzywdzenie.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Pracownik placówki sporządza notatkę służbową z zaistniałej sytuacji. 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Pracownik przedszkola bez zbędnej zwłoki przekazuje uzyskane informacje  wychowawcy lub pedagogowi lub psychologowi, a także dyrektorowi placówki oraz osobie monitorującej stosowanie standardów ochrony dzieci przed krzywdzeniem.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Pedagog, psycholog lub dyrektor placówki kontaktuje się z opiekunami małoletniego, którego krzywdzenie podejrzewa. W przypadku, gdy problem krzywdzenia nie wymaga sięgnięcia po środki represji karnej wobec opiekuna dziecka i gdy nie stwierdzono zagrożenia życia lub zdrowia małoletniego, pedagog, psycholog, dyrektor placówki lub osoba przez niego wyznaczona organizuje spotkanie z opiekunami małoletniego celem zaprezentowania form wsparcia małoletniego. Ze spotkania sporządzana jest notatka służbowa.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Pedagog lub psycholog lub dyrektor placówki dokonuje analizy sytuacji przedszkolnej i rodzinnej małoletniego w oparciu o rozmowy z dzieckiem, nauczycielami, wychowawcą i opiekunami małoletniego, następnie sporządza ich opis.</w:t>
      </w:r>
    </w:p>
    <w:p>
      <w:pPr>
        <w:pStyle w:val="NormalWeb"/>
        <w:numPr>
          <w:ilvl w:val="0"/>
          <w:numId w:val="3"/>
        </w:numPr>
        <w:shd w:val="clear" w:color="auto" w:fill="FFFFFF"/>
        <w:spacing w:lineRule="auto" w:line="360" w:beforeAutospacing="0" w:before="0" w:afterAutospacing="0" w:after="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Personel przedszkola, w szczególności pedagog lub psycholog przedstawia plan pomocy dziecku, który zawiera m.in.: wytyczne w zakresie działań nacelowanych na zapewnienie bezpieczeństwa małoletniemu, czynności wspierających dziecko oraz w razie potrzeby – wskazania dotyczące skierowania dziecka do specjalistycznej placówki pomocy dziecku. </w:t>
      </w:r>
      <w:r>
        <w:rPr>
          <w:rFonts w:cs="Tahoma" w:ascii="Tahoma" w:hAnsi="Tahoma"/>
          <w:color w:val="000000"/>
          <w:sz w:val="20"/>
          <w:szCs w:val="20"/>
        </w:rPr>
        <w:t>Jeżeli jest to uzasadnione – personel placówki przygotowuje propozycję objęcia małoletniego pomocą psychologiczno-pedagogiczną, także we współpracy z instytucjami zewnętrznymi, w tym poradnią psychologiczno-pedagogiczną lub poradnią specjalistyczną.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W trudniejszych przypadkach dyrektor placówki powołuje zespół interwencyjny, w skład którego mogą wejść: pedagog, psycholog, wychowawca dziecka, dyrektor przedszkola oraz inni pracownicy mający wiedzę na temat skutków krzywdzenia dziecka lub o krzywdzonym dziecku. W trudniejszych przypadkach zespół interwencyjny sporządza plan pomocy dziecku. Powołanie zespołu interwencyjnego jest obligatoryjne w sytuacji, gdy zgłaszającymi podejrzenie krzywdzenia byli opiekunowie małoletniego.</w:t>
      </w:r>
    </w:p>
    <w:p>
      <w:pPr>
        <w:pStyle w:val="NormalWeb"/>
        <w:numPr>
          <w:ilvl w:val="0"/>
          <w:numId w:val="3"/>
        </w:numPr>
        <w:shd w:val="clear" w:color="auto" w:fill="FFFFFF" w:themeFill="background1"/>
        <w:spacing w:lineRule="auto" w:line="360" w:before="280" w:after="150"/>
        <w:jc w:val="both"/>
        <w:rPr>
          <w:sz w:val="20"/>
          <w:szCs w:val="20"/>
        </w:rPr>
      </w:pPr>
      <w:r>
        <w:rPr>
          <w:rFonts w:cs="Tahoma" w:ascii="Tahoma" w:hAnsi="Tahoma"/>
          <w:color w:val="000000" w:themeColor="text1"/>
          <w:sz w:val="20"/>
          <w:szCs w:val="20"/>
        </w:rPr>
        <w:t xml:space="preserve">Gdy źródłem krzywdzenia lub podejrzenia krzywdzenia są opiekunowie małoletniego, </w:t>
      </w:r>
      <w:r>
        <w:rPr>
          <w:rFonts w:cs="Tahoma" w:ascii="Tahoma" w:hAnsi="Tahoma"/>
          <w:sz w:val="20"/>
          <w:szCs w:val="20"/>
        </w:rPr>
        <w:t>pedagog, psycholog</w:t>
      </w:r>
      <w:r>
        <w:rPr>
          <w:rFonts w:cs="Tahoma" w:ascii="Tahoma" w:hAnsi="Tahoma"/>
          <w:color w:val="000000" w:themeColor="text1"/>
          <w:sz w:val="20"/>
          <w:szCs w:val="20"/>
        </w:rPr>
        <w:t xml:space="preserve"> lub dyrektor, po analizie sytuacji, powiadamia niezwłocznie właściwe instytucje i organy celem ewentualnego wdrożenia przez te instytucje i organy procedury Niebieskiej Karty. Uprzednio pedagog, psycholog lub dyrektor informuje opiekunów małoletniego o obowiązku placówki zgłoszenia podejrzenia krzywdzenia dziecka do odpowiedniej instytucji.</w:t>
      </w:r>
    </w:p>
    <w:p>
      <w:pPr>
        <w:pStyle w:val="NormalWeb"/>
        <w:numPr>
          <w:ilvl w:val="0"/>
          <w:numId w:val="3"/>
        </w:numPr>
        <w:shd w:val="clear" w:color="auto" w:fill="FFFFFF" w:themeFill="background1"/>
        <w:spacing w:lineRule="auto" w:line="360" w:beforeAutospacing="0" w:before="0" w:afterAutospacing="0" w:after="0"/>
        <w:jc w:val="both"/>
        <w:rPr>
          <w:sz w:val="20"/>
          <w:szCs w:val="20"/>
        </w:rPr>
      </w:pPr>
      <w:commentRangeStart w:id="1"/>
      <w:r>
        <w:rPr>
          <w:rFonts w:cs="Tahoma" w:ascii="Tahoma" w:hAnsi="Tahoma"/>
          <w:color w:val="000000" w:themeColor="text1"/>
          <w:sz w:val="20"/>
          <w:szCs w:val="20"/>
        </w:rPr>
        <w:t xml:space="preserve">Pracownicy przedszkola jako placówki oświatowej uczestniczą w realizacji procedury „Niebieskie Karty”, w tym uprawnieni są do samodzielnego jej </w:t>
      </w:r>
      <w:r>
        <w:rPr>
          <w:rFonts w:cs="Tahoma" w:ascii="Tahoma" w:hAnsi="Tahoma"/>
          <w:color w:val="000000" w:themeColor="text1"/>
          <w:sz w:val="20"/>
          <w:szCs w:val="20"/>
        </w:rPr>
      </w:r>
      <w:commentRangeEnd w:id="1"/>
      <w:r>
        <w:commentReference w:id="1"/>
      </w:r>
      <w:r>
        <w:rPr>
          <w:rFonts w:cs="Tahoma" w:ascii="Tahoma" w:hAnsi="Tahoma"/>
          <w:color w:val="000000" w:themeColor="text1"/>
          <w:sz w:val="20"/>
          <w:szCs w:val="20"/>
        </w:rPr>
        <w:t>wszczynania.</w:t>
      </w:r>
    </w:p>
    <w:p>
      <w:pPr>
        <w:pStyle w:val="NormalWeb"/>
        <w:numPr>
          <w:ilvl w:val="0"/>
          <w:numId w:val="3"/>
        </w:numPr>
        <w:shd w:val="clear" w:color="auto" w:fill="FFFFFF" w:themeFill="background1"/>
        <w:spacing w:lineRule="auto" w:line="360" w:beforeAutospacing="0" w:before="0" w:afterAutospacing="0" w:after="0"/>
        <w:jc w:val="both"/>
        <w:rPr>
          <w:sz w:val="20"/>
          <w:szCs w:val="20"/>
        </w:rPr>
      </w:pPr>
      <w:r>
        <w:rPr>
          <w:rFonts w:cs="Tahoma" w:ascii="Tahoma" w:hAnsi="Tahoma"/>
          <w:color w:val="000000" w:themeColor="text1"/>
          <w:sz w:val="20"/>
          <w:szCs w:val="20"/>
        </w:rPr>
        <w:t>Jeżeli rodzice odmawiają współpracy lub odmawiają podjęcia działań proponowanych przez  placówkę, mimo trudnej sytuacji małoletniego, koordynator lub dyrektor składa niezwłocznie zawiadomienie o podejrzeniu przestępstwa do policji, prokuratury lub wniosek o wgląd w sytuację dziecka do sądu rodzinnego, nawiązuje współpracę z  instytucją pomocy społecznej oraz obejmuje małoletniego pomocą psychologiczno-pedagogiczną.</w:t>
      </w:r>
    </w:p>
    <w:p>
      <w:pPr>
        <w:pStyle w:val="NormalWeb"/>
        <w:numPr>
          <w:ilvl w:val="0"/>
          <w:numId w:val="3"/>
        </w:numPr>
        <w:shd w:val="clear" w:color="auto" w:fill="FFFFFF" w:themeFill="background1"/>
        <w:spacing w:lineRule="auto" w:line="360" w:beforeAutospacing="0" w:before="0" w:afterAutospacing="0" w:after="0"/>
        <w:jc w:val="both"/>
        <w:rPr>
          <w:sz w:val="20"/>
          <w:szCs w:val="20"/>
        </w:rPr>
      </w:pPr>
      <w:r>
        <w:rPr>
          <w:rFonts w:cs="Tahoma" w:ascii="Tahoma" w:hAnsi="Tahoma"/>
          <w:color w:val="000000" w:themeColor="text1"/>
          <w:sz w:val="20"/>
          <w:szCs w:val="20"/>
        </w:rPr>
        <w:t>W przypadku przemocy rówieśniczej, innych zachowań ryzykownych ze strony małoletnich, pomocą psychologiczno-pedagogiczną i wsparciem należy objąć również dzieci będące jej inicjatorami, biorąc pod uwagę potrzebę współpracy w tym zakresie z instytucjami zewnętrznymi, w tym poradniami psychologiczno-pedagogicznymi, a także dzieci, które były ewentualnymi świadkami zdarzenia.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W każdym przypadku podejrzenia krzywdzenia lub posiadania informacji o krzywdzeniu dziecka sporządza się protokół interwencji, którego wzór stanowi </w:t>
      </w:r>
      <w:r>
        <w:rPr>
          <w:rFonts w:cs="Tahoma" w:ascii="Tahoma" w:hAnsi="Tahoma"/>
          <w:i/>
          <w:iCs/>
          <w:sz w:val="20"/>
          <w:szCs w:val="20"/>
        </w:rPr>
        <w:t>Załącznik nr 6</w:t>
      </w:r>
      <w:r>
        <w:rPr>
          <w:rFonts w:cs="Tahoma" w:ascii="Tahoma" w:hAnsi="Tahoma"/>
          <w:sz w:val="20"/>
          <w:szCs w:val="20"/>
        </w:rPr>
        <w:t xml:space="preserve"> do niniejszego dokumentu. Pedagog/psycholog wzywa opiekunów dziecka, którego krzywdzenie podejrzewa, oraz informuje ich o podejrzeniu.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0"/>
          <w:szCs w:val="20"/>
        </w:rPr>
      </w:pPr>
      <w:bookmarkStart w:id="7" w:name="_Hlk156472124"/>
      <w:r>
        <w:rPr>
          <w:rFonts w:cs="Tahoma" w:ascii="Tahoma" w:hAnsi="Tahoma"/>
          <w:sz w:val="20"/>
          <w:szCs w:val="20"/>
        </w:rPr>
        <w:t xml:space="preserve"> </w:t>
      </w:r>
      <w:r>
        <w:rPr>
          <w:rFonts w:cs="Tahoma" w:ascii="Tahoma" w:hAnsi="Tahoma"/>
          <w:sz w:val="20"/>
          <w:szCs w:val="20"/>
        </w:rPr>
        <w:t>W każdej sytuacji krzywdzenia/podejrzenia krzywdzenia małoletnich, przygotowywana jest teczka zawierająca dokumentację zebraną w toku procedur opisanych w niniejszym rozdziale. Tworzenie i prowadzenie tej dokumentacji powierza się pedagogowi/psychologowi lub innemu pracownikowi wskazanemu przez dyrektora placówki. Dokumentacja jest chroniona przed dostępem osób nieuprawnionych.</w:t>
      </w:r>
      <w:bookmarkEnd w:id="7"/>
    </w:p>
    <w:p>
      <w:pPr>
        <w:pStyle w:val="Normal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8" w:name="_Toc156466592"/>
      <w:r>
        <w:rPr>
          <w:rFonts w:cs="Tahoma" w:ascii="Tahoma" w:hAnsi="Tahoma"/>
          <w:b/>
          <w:bCs/>
          <w:color w:val="auto"/>
          <w:sz w:val="20"/>
          <w:szCs w:val="20"/>
        </w:rPr>
        <w:t>ROZDZIAŁ IV</w:t>
        <w:br/>
        <w:t>ZASADY BEZPIECZNYCH RELACJI PERSONEL–DZIECKO ORAZ DZIECKO-DZIECKO</w:t>
      </w:r>
      <w:bookmarkEnd w:id="8"/>
    </w:p>
    <w:p>
      <w:pPr>
        <w:pStyle w:val="Normal"/>
        <w:spacing w:lineRule="auto" w:line="360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ListParagraph"/>
        <w:numPr>
          <w:ilvl w:val="0"/>
          <w:numId w:val="8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Personel placówki zna i stosuje zasady bezpiecznych relacji między personelem a dziećmi stanowiące </w:t>
      </w:r>
      <w:r>
        <w:rPr>
          <w:rFonts w:cs="Tahoma" w:ascii="Tahoma" w:hAnsi="Tahoma"/>
          <w:i/>
          <w:iCs/>
          <w:sz w:val="20"/>
          <w:szCs w:val="20"/>
        </w:rPr>
        <w:t>Załącznik nr 4</w:t>
      </w:r>
      <w:r>
        <w:rPr>
          <w:rFonts w:cs="Tahoma" w:ascii="Tahoma" w:hAnsi="Tahoma"/>
          <w:sz w:val="20"/>
          <w:szCs w:val="20"/>
        </w:rPr>
        <w:t>. Zasady bezpiecznych relacji z dzieckiem określają, jakie zachowania i praktyki są dopuszczalne, a jakie niepożądane w pracy z dziećmi. W przypadku każdej interakcji z dzieckiem personel szanuje godność dziecka oraz ma na względzie jego bezpieczeństwo.</w:t>
      </w:r>
    </w:p>
    <w:p>
      <w:pPr>
        <w:pStyle w:val="ListParagraph"/>
        <w:numPr>
          <w:ilvl w:val="0"/>
          <w:numId w:val="8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Personel placówki zna i stosuje zasady bezpiecznych relacji między dziećmi stanowiące </w:t>
      </w:r>
      <w:r>
        <w:rPr>
          <w:rFonts w:cs="Tahoma" w:ascii="Tahoma" w:hAnsi="Tahoma"/>
          <w:i/>
          <w:iCs/>
          <w:sz w:val="20"/>
          <w:szCs w:val="20"/>
        </w:rPr>
        <w:t>Załącznik nr 5</w:t>
      </w:r>
      <w:r>
        <w:rPr>
          <w:rFonts w:cs="Tahoma" w:ascii="Tahoma" w:hAnsi="Tahoma"/>
          <w:sz w:val="20"/>
          <w:szCs w:val="20"/>
        </w:rPr>
        <w:t>. Zasady bezpiecznych relacji między dziećmi określają, jakie zachowania i praktyki są dopuszczalne, a jakie niepożądane w pracy z dziećmi. Personel placówki zaznajamia małoletnich w zrozumiały dla nich sposób z zasadami bezpiecznych relacji między małoletnimi. W przypadku każdej interakcji dziecka z dzieckiem personel placówki dba o to, by zapewnić każdemu z dzieci bezpieczeństwo oraz poszanowanie jego godności.</w:t>
      </w:r>
    </w:p>
    <w:p>
      <w:pPr>
        <w:pStyle w:val="ListParagraph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9" w:name="_Toc156466593"/>
      <w:commentRangeStart w:id="2"/>
      <w:r>
        <w:rPr>
          <w:rFonts w:cs="Tahoma" w:ascii="Tahoma" w:hAnsi="Tahoma"/>
          <w:b/>
          <w:bCs/>
          <w:color w:val="auto"/>
          <w:sz w:val="20"/>
          <w:szCs w:val="20"/>
        </w:rPr>
        <w:t>ROZDZIAŁ V</w:t>
        <w:br/>
        <w:t>ZASADY OCHRONY DANYCH OSOBOWYCH</w:t>
      </w:r>
      <w:bookmarkEnd w:id="9"/>
      <w:commentRangeEnd w:id="2"/>
      <w:r>
        <w:commentReference w:id="2"/>
      </w:r>
      <w:r>
        <w:rPr>
          <w:rFonts w:cs="Tahoma" w:ascii="Tahoma" w:hAnsi="Tahoma"/>
          <w:b/>
          <w:bCs/>
          <w:color w:val="auto"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bookmarkStart w:id="10" w:name="_Hlk156214870"/>
      <w:r>
        <w:rPr>
          <w:rFonts w:cs="Tahoma" w:ascii="Tahoma" w:hAnsi="Tahoma"/>
          <w:sz w:val="20"/>
          <w:szCs w:val="20"/>
        </w:rPr>
        <w:t>Placówka utrzymuje najwyższe standardy ochrony danych osobowych dzieci wedle obowiązujących przepisów prawa.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eastAsia="Calibri" w:cs="Tahoma" w:ascii="Tahoma" w:hAnsi="Tahoma"/>
          <w:sz w:val="20"/>
          <w:szCs w:val="20"/>
        </w:rPr>
        <w:t>W placówce wprowadzono Politykę ochrony danych osobowych osób fizycznych (pracowników, wychowanków, rodziców/opiekunów).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Dokumentacja dotycząca ochrony danych osobowych została opracowana zgodnie z wymogami rozporządzenia Parlamentu Europejskiego i Rady (UE) nr 2016/679 Europejskiego i Rady (UE) nr 2016/679 z 27.04.2016 r. w sprawie ochrony osób fizycznych w związku z przetwarzaniem danych osobowych i w sprawie swobodnego przepływu takich danych oraz uchylenia dyrektywy 95/46/WE (ogólne rozporządzenie o ochronie danych) (Dz.Urz. UE L z 2016 r. 119, s. 1 ze zm.) oraz ustawy z dnia 10 maja 2018 r. o ochronie danych osobowych (tekst jedn.: Dz.U. z 2019 r. poz. 1781)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Dane osobowe małoletnich udostępnianie są jedynie podmiotom uprawnionym. Zgodnie z przepisami ustawy z dnia 7 września 1991 r. o systemie oświaty (t.j. Dz.U. z 2021 r., poz. 1915 z późn. zm.) oraz ustawy z dnia 14 grudnia 2016 r. Prawo oświatowe (t.j. Dz.U. z 2021 r., poz. 1082 z późn. zm.) do uzyskiwania jakichkolwiek informacji odnośnie dziecka uprawnieni są wyłącznie jego rodzice, prawni opiekunowie dziecka oraz osoby (podmioty) sprawujące pieczę zastępczą nad dzieckiem.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Placówka przetwarza dane osobowe w zakresie niezbędnym dla realizacji zadań i obowiązków wynikających z przepisów ustawy Prawo oświatowe.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Personel placówki zobowiązany jest do zachowania w poufności informacji dotyczących zdrowia, potrzeb rozwojowych i edukacyjnych, możliwości psychofizycznych, seksualności, orientacji seksualnej, pochodzenia rasowego lub etnicznego, poglądów politycznych, przekonań religijnych lub światopoglądowych dzieci. Obowiązek nie obejmuje sytuacji zagrożenia zdrowia dziecka.</w:t>
      </w:r>
    </w:p>
    <w:p>
      <w:pPr>
        <w:pStyle w:val="Normal"/>
        <w:numPr>
          <w:ilvl w:val="0"/>
          <w:numId w:val="1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eastAsia="Calibri" w:cs="Tahoma" w:ascii="Tahoma" w:hAnsi="Tahoma"/>
          <w:sz w:val="20"/>
          <w:szCs w:val="20"/>
        </w:rPr>
        <w:t>W przedszkolu wdrożono odpowiednią procedurę postępowania i środki techniczne na wypadek wystąpienia naruszenia ochrony danych osobowych.</w:t>
      </w:r>
    </w:p>
    <w:p>
      <w:pPr>
        <w:sectPr>
          <w:footerReference w:type="default" r:id="rId4"/>
          <w:type w:val="nextPage"/>
          <w:pgSz w:w="11906" w:h="16838"/>
          <w:pgMar w:left="1417" w:right="1417" w:gutter="0" w:header="0" w:top="1417" w:footer="708" w:bottom="1417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numPr>
          <w:ilvl w:val="0"/>
          <w:numId w:val="1"/>
        </w:numPr>
        <w:spacing w:lineRule="auto" w:line="360" w:before="0" w:after="0"/>
        <w:contextualSpacing/>
        <w:jc w:val="both"/>
        <w:rPr>
          <w:sz w:val="20"/>
          <w:szCs w:val="20"/>
        </w:rPr>
      </w:pPr>
      <w:bookmarkStart w:id="11" w:name="_Hlk156214870"/>
      <w:r>
        <w:rPr>
          <w:rFonts w:eastAsia="Calibri" w:cs="Tahoma" w:ascii="Tahoma" w:hAnsi="Tahoma"/>
          <w:sz w:val="20"/>
          <w:szCs w:val="20"/>
        </w:rPr>
        <w:t>Dane osobowe dzieci, zarejestrowane na piśmie, są przechowywane w zamkniętych szafach, z ograniczonym dostępem do pomieszczeń, w których są składowane celem zabezpieczenia ich poufności.</w:t>
      </w:r>
      <w:bookmarkEnd w:id="11"/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12" w:name="_Toc156466594"/>
      <w:r>
        <w:rPr>
          <w:rFonts w:cs="Tahoma" w:ascii="Tahoma" w:hAnsi="Tahoma"/>
          <w:b/>
          <w:bCs/>
          <w:color w:val="auto"/>
          <w:sz w:val="20"/>
          <w:szCs w:val="20"/>
        </w:rPr>
        <w:t>ROZDZIAŁ VI</w:t>
        <w:br/>
        <w:t>ZASADY OCHRONY WIZERUNKU DZIECKA</w:t>
      </w:r>
      <w:bookmarkEnd w:id="12"/>
    </w:p>
    <w:p>
      <w:pPr>
        <w:pStyle w:val="Normal"/>
        <w:spacing w:lineRule="auto" w:line="36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Placówka utrzymuje najwyższe standardy ochrony wizerunku małoletnich wedle obowiązujących przepisów prawa. Placówka szanuje prawo do prywatności każdego małoletniego.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Pracownicy przedszkola zobowiązują się do chronienia wizerunku dziecka.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Zdjęcia, filmy, nagrania nie mogą przedstawiać małoletnich w sytuacjach go ośmieszających lub poniżających, a dzieci na nich uwidocznione winny być ubrane.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Utrwalanie wizerunku dziecka (filmowanie, fotografowanie, nagrywanie głosu dziecka) bądź umożliwianie jego utrwalania na terenie placówki bez pisemnej zgody opiekuna prawnego dziecka jest niedozwolone. 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Upublicznienie wizerunku dziecka utrwalonego w jakiejkolwiek formie (fotografia, film, nagranie głosu) wymaga pisemnej zgody opiekuna dziecka.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Pracownik placówki każdorazowo informuje opiekuna małoletniego o sposobie wykorzystania wizerunku dziecka (zdjęć, nagrań, filmów) oraz o ryzyku związanym z publikacją wizerunku dziecka. Opiekun małoletniego może żądać informacji o sposobie przechowywania ww. danych.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Pracownik Przedszkola może skontaktować się z opiekunem dziecka celem uzyskania zgody na nieodpłatne wykorzystanie zarejestrowanego wizerunku dziecka i określić, w jakim kontekście będzie wykorzystywany, </w:t>
      </w:r>
      <w:r>
        <w:rPr>
          <w:rFonts w:eastAsia="Calibri" w:cs="Tahoma" w:ascii="Tahoma" w:hAnsi="Tahoma"/>
          <w:bCs/>
          <w:kern w:val="0"/>
          <w:sz w:val="20"/>
          <w:szCs w:val="20"/>
          <w14:ligatures w14:val="none"/>
        </w:rPr>
        <w:t>i ryzyku wiążącym się z publikacją wizerunku.</w:t>
      </w:r>
      <w:r>
        <w:rPr>
          <w:rFonts w:cs="Tahoma" w:ascii="Tahoma" w:hAnsi="Tahoma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Jeżeli wizerunek dziecka składa się na wycinek większej całości, jak np.: zgromadzenie, krajobraz, impreza publiczna, zgoda opiekuna na utrwalanie wizerunku dziecka nie jest konieczna.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eastAsia="Calibri" w:cs="Tahoma" w:ascii="Tahoma" w:hAnsi="Tahoma"/>
          <w:kern w:val="0"/>
          <w:sz w:val="20"/>
          <w:szCs w:val="20"/>
          <w14:ligatures w14:val="none"/>
        </w:rPr>
        <w:t>Przedstawiciele mediów lub inne osoby zamierzające utrwalić organizowane przez placówkę wydarzenie i opublikować zarejestrowany materiał, przedkładają dyrektorowi placówki prośbę o zgodę na rejestrację wydarzenia.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eastAsia="Calibri" w:cs="Tahoma" w:ascii="Tahoma" w:hAnsi="Tahoma"/>
          <w:kern w:val="0"/>
          <w:sz w:val="20"/>
          <w:szCs w:val="20"/>
          <w14:ligatures w14:val="none"/>
        </w:rPr>
        <w:t>Personel nie umożliwia przedstawicielom mediów i osobom nieupoważnionym utrwalania wizerunku dziecka na terenie instytucji bez pisemnej zgody opiekuna dziecka oraz bez zgody dyrektora placówki.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Niedopuszczalne jest podanie przedstawicielowi mediów danych kontaktowych do opiekuna dziecka – bez wiedzy i zgody tego opiekuna. 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Rejestrowanie wizerunku dzieci przez ich opiekunów na cele prywatne jest dozwolone i nie wymaga zgody opiekunów innych dzieci biorących udział w wydarzeniu. </w:t>
      </w:r>
      <w:r>
        <w:rPr>
          <w:rFonts w:eastAsia="Calibri" w:cs="Tahoma" w:ascii="Tahoma" w:hAnsi="Tahoma"/>
          <w:bCs/>
          <w:kern w:val="0"/>
          <w:sz w:val="20"/>
          <w:szCs w:val="20"/>
          <w14:ligatures w14:val="none"/>
        </w:rPr>
        <w:t>Personel placówki informuje opiekunów dzieci o konieczności uzyskania zgody opiekunów dzieci, a także innych osób dorosłych, na wykorzystanie, przetwarzanie i publikowanie zarejestrowanych przez opiekunów materiałów przedstawiających wizerunki dzieci i osób dorosłych. Publikowanie ww. wizerunków w mediach społecznościowych jest możliwe tylko w razie uzyskania zgody opiekunów małoletnich i dorosłych utrwalonych na zdjęciu, filmie czy nagraniu głosowym.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eastAsia="Calibri" w:cs="Tahoma" w:ascii="Tahoma" w:hAnsi="Tahoma"/>
          <w:bCs/>
          <w:kern w:val="0"/>
          <w:sz w:val="20"/>
          <w:szCs w:val="20"/>
          <w14:ligatures w14:val="none"/>
        </w:rPr>
        <w:t xml:space="preserve">W razie braku zgody opiekunów dziecka na utrwalenie jego wizerunku, placówka ustala z opiekunami dziecka sposób ochrony dziecka, który nie będzie dla niego stygmatyzujący. 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Materiały zawierające wizerunek dzieci przechowywane są w miejscu niedostępnym dla osób postronnych.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eastAsia="Calibri" w:cs="Tahoma" w:ascii="Tahoma" w:hAnsi="Tahoma"/>
          <w:sz w:val="20"/>
          <w:szCs w:val="20"/>
        </w:rPr>
        <w:t>Ochrona wizerunku dzieci utrwalanych poprzez system monitoringu odbywa się na zasadach określonych w regulaminie jego funkcjonowania. Regulamin funkcjonowania monitoringu w placówce precyzuje zasady udostępniania nagrań podmiotom zewnętrznym.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Wszelkie podejrzenia naruszenia zasad ochrony wizerunku małoletnich są rejestrowane i zgłaszane dyrektorowi placówki.</w:t>
      </w:r>
    </w:p>
    <w:p>
      <w:pPr>
        <w:pStyle w:val="Normal"/>
        <w:spacing w:lineRule="auto" w:line="360" w:before="0" w:after="0"/>
        <w:jc w:val="both"/>
        <w:rPr>
          <w:rFonts w:ascii="Tahoma" w:hAnsi="Tahoma" w:eastAsia="Calibri" w:cs="Tahoma"/>
          <w:bCs/>
          <w:kern w:val="0"/>
          <w:sz w:val="20"/>
          <w:szCs w:val="20"/>
          <w14:ligatures w14:val="none"/>
        </w:rPr>
      </w:pPr>
      <w:r>
        <w:rPr>
          <w:rFonts w:eastAsia="Calibri" w:cs="Tahoma" w:ascii="Tahoma" w:hAnsi="Tahoma"/>
          <w:bCs/>
          <w:kern w:val="0"/>
          <w:sz w:val="20"/>
          <w:szCs w:val="20"/>
          <w14:ligatures w14:val="none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13" w:name="_Toc156466595"/>
      <w:r>
        <w:rPr>
          <w:rFonts w:cs="Tahoma" w:ascii="Tahoma" w:hAnsi="Tahoma"/>
          <w:b/>
          <w:bCs/>
          <w:color w:val="auto"/>
          <w:sz w:val="20"/>
          <w:szCs w:val="20"/>
        </w:rPr>
        <w:t>ROZDZIAŁ VII</w:t>
        <w:br/>
        <w:t>ZASADY BEZPIECZNEGO KORZYSTANIA Z INTERNETU I MEDIÓW ELEKTRONICZNYCH</w:t>
      </w:r>
      <w:bookmarkEnd w:id="13"/>
      <w:r>
        <w:rPr>
          <w:rFonts w:cs="Tahoma" w:ascii="Tahoma" w:hAnsi="Tahoma"/>
          <w:b/>
          <w:bCs/>
          <w:color w:val="auto"/>
          <w:sz w:val="20"/>
          <w:szCs w:val="20"/>
        </w:rPr>
        <w:t xml:space="preserve"> </w:t>
      </w:r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W przedszkolu dzieci nie mają dostępu do komputerów i nie pracują na nich. W placówce dzieci pod nadzorem nauczyciela korzystają z monitorów interaktywnych, które wykorzystuje się w trakcie zajęć edukacyjnych, dostosowanych do wieku i możliwości dzieci. </w:t>
        <w:br/>
      </w:r>
      <w:bookmarkStart w:id="14" w:name="_Hlk156304632"/>
      <w:commentRangeStart w:id="3"/>
      <w:r>
        <w:rPr>
          <w:rFonts w:cs="Tahoma" w:ascii="Tahoma" w:hAnsi="Tahoma"/>
          <w:sz w:val="20"/>
          <w:szCs w:val="20"/>
        </w:rPr>
        <w:t>*Dzieci z niepełnosprawnościami korzystają z elektronicznych urządzeń wielofunkcyjnych umożliwiających im funkcjonowanie w placówce. Oprogramowanie tychże urządzeń przystosowane jest do wieku i niepełnosprawności dzieci.</w:t>
      </w:r>
      <w:bookmarkEnd w:id="14"/>
      <w:commentRangeEnd w:id="3"/>
      <w:r>
        <w:commentReference w:id="3"/>
      </w: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9"/>
        </w:numPr>
        <w:spacing w:lineRule="auto" w:line="360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Dzieci nie mają swobodnego dostępu do internetu na terenie placówki. </w:t>
      </w:r>
    </w:p>
    <w:p>
      <w:pPr>
        <w:pStyle w:val="ListParagraph"/>
        <w:numPr>
          <w:ilvl w:val="0"/>
          <w:numId w:val="9"/>
        </w:numPr>
        <w:spacing w:lineRule="auto" w:line="360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Dostęp do sieci internetowej chroniony jest hasłem. 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>Placówka stosuje i aktualizuje oprogramowanie zabezpieczające.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Dostęp do internetu ograniczony jest przed treściami, które mogłyby stanowić zagrożenie dla rozwoju dzieci. 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commentRangeStart w:id="4"/>
      <w:r>
        <w:rPr>
          <w:rFonts w:eastAsia="Tahoma" w:cs="Tahoma" w:ascii="Tahoma" w:hAnsi="Tahoma"/>
          <w:sz w:val="20"/>
          <w:szCs w:val="20"/>
        </w:rPr>
        <w:t>W placówce wyznaczono osobę odpowiedzialną za internet.</w:t>
      </w:r>
      <w:r>
        <w:rPr>
          <w:rFonts w:eastAsia="Tahoma" w:cs="Tahoma" w:ascii="Tahoma" w:hAnsi="Tahoma"/>
          <w:sz w:val="20"/>
          <w:szCs w:val="20"/>
        </w:rPr>
      </w:r>
      <w:commentRangeEnd w:id="4"/>
      <w:r>
        <w:commentReference w:id="4"/>
      </w:r>
      <w:r>
        <w:rPr>
          <w:rFonts w:eastAsia="Tahoma" w:cs="Tahoma" w:ascii="Tahoma" w:hAnsi="Tahoma"/>
          <w:sz w:val="20"/>
          <w:szCs w:val="20"/>
        </w:rPr>
        <w:t xml:space="preserve"> </w:t>
      </w:r>
      <w:r>
        <w:rPr>
          <w:rFonts w:eastAsia="Tahoma" w:cs="Tahoma" w:ascii="Tahoma" w:hAnsi="Tahoma"/>
          <w:sz w:val="20"/>
          <w:szCs w:val="20"/>
          <w:shd w:fill="FFFFFF" w:val="clear"/>
        </w:rPr>
        <w:t xml:space="preserve">Osobą odpowiedzialną za internet w placówce jest </w:t>
      </w:r>
      <w:r>
        <w:rPr>
          <w:rFonts w:eastAsia="Tahoma" w:cs="Tahoma" w:ascii="Tahoma" w:hAnsi="Tahoma"/>
          <w:sz w:val="20"/>
          <w:szCs w:val="20"/>
          <w:shd w:fill="FFFFFF" w:val="clear"/>
        </w:rPr>
        <w:t>Agata Tyczka.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Placówka udostępnia materiały edukacyjne promujące bezpieczeństwo w sieci. </w:t>
      </w:r>
      <w:r>
        <w:rPr>
          <w:rFonts w:eastAsia="Calibri" w:cs="Tahoma" w:ascii="Tahoma" w:hAnsi="Tahoma"/>
          <w:kern w:val="0"/>
          <w:sz w:val="20"/>
          <w:szCs w:val="20"/>
          <w14:ligatures w14:val="none"/>
        </w:rPr>
        <w:t>Osoba odpowiedzialna za dostęp do internetu w przedszkolu przeprowadza z dziećmi cykliczne szkolenia dotyczące bezpiecznego korzystania z internetu i urządzeń elektronicznych.</w:t>
      </w:r>
      <w:r>
        <w:rPr>
          <w:rFonts w:eastAsia="Tahoma" w:cs="Tahoma" w:ascii="Tahoma" w:hAnsi="Tahoma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  <w:t xml:space="preserve">Placówka przeprowadza pogadanki z opiekunami dzieci na temat bezpieczeństwa w sieci. </w:t>
      </w:r>
    </w:p>
    <w:p>
      <w:pPr>
        <w:pStyle w:val="ListParagraph"/>
        <w:spacing w:lineRule="auto" w:line="360"/>
        <w:jc w:val="both"/>
        <w:rPr>
          <w:rFonts w:ascii="Tahoma" w:hAnsi="Tahoma" w:eastAsia="Tahoma" w:cs="Tahoma"/>
          <w:sz w:val="20"/>
          <w:szCs w:val="20"/>
        </w:rPr>
      </w:pPr>
      <w:r>
        <w:rPr>
          <w:rFonts w:eastAsia="Tahoma" w:cs="Tahoma" w:ascii="Tahoma" w:hAnsi="Tahoma"/>
          <w:sz w:val="20"/>
          <w:szCs w:val="20"/>
        </w:rPr>
      </w:r>
    </w:p>
    <w:p>
      <w:pPr>
        <w:pStyle w:val="ListParagraph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 w:before="0" w:after="0"/>
        <w:ind w:left="357" w:hanging="0"/>
        <w:contextualSpacing/>
        <w:jc w:val="both"/>
        <w:rPr>
          <w:rFonts w:ascii="Tahoma" w:hAnsi="Tahoma" w:eastAsia="Calibri" w:cs="Tahoma"/>
          <w:kern w:val="0"/>
          <w:sz w:val="20"/>
          <w:szCs w:val="20"/>
          <w14:ligatures w14:val="none"/>
        </w:rPr>
      </w:pPr>
      <w:r>
        <w:rPr>
          <w:rFonts w:eastAsia="Calibri" w:cs="Tahoma" w:ascii="Tahoma" w:hAnsi="Tahoma"/>
          <w:kern w:val="0"/>
          <w:sz w:val="20"/>
          <w:szCs w:val="20"/>
          <w14:ligatures w14:val="none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15" w:name="_Toc156466596"/>
      <w:r>
        <w:rPr>
          <w:rFonts w:cs="Tahoma" w:ascii="Tahoma" w:hAnsi="Tahoma"/>
          <w:b/>
          <w:bCs/>
          <w:color w:val="auto"/>
          <w:sz w:val="20"/>
          <w:szCs w:val="20"/>
        </w:rPr>
        <w:t>ROZDZIAŁ VIII</w:t>
        <w:br/>
        <w:t>MONITORING STOSOWANIA STANDAR</w:t>
      </w:r>
      <w:r>
        <w:rPr>
          <w:rFonts w:cs="Tahoma" w:ascii="Tahoma" w:hAnsi="Tahoma"/>
          <w:b/>
          <w:bCs/>
          <w:color w:val="auto"/>
          <w:sz w:val="20"/>
          <w:szCs w:val="20"/>
        </w:rPr>
        <w:t>D</w:t>
      </w:r>
      <w:r>
        <w:rPr>
          <w:rFonts w:cs="Tahoma" w:ascii="Tahoma" w:hAnsi="Tahoma"/>
          <w:b/>
          <w:bCs/>
          <w:color w:val="auto"/>
          <w:sz w:val="20"/>
          <w:szCs w:val="20"/>
        </w:rPr>
        <w:t>ÓW OCHRONY MAŁOLETNICH PRZED KRZYWDZENIEM</w:t>
      </w:r>
      <w:bookmarkEnd w:id="15"/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Dyrekcja placówki wyznacza </w:t>
      </w:r>
      <w:r>
        <w:rPr>
          <w:rFonts w:cs="Tahoma" w:ascii="Tahoma" w:hAnsi="Tahoma"/>
          <w:color w:val="000000"/>
          <w:sz w:val="20"/>
          <w:szCs w:val="20"/>
        </w:rPr>
        <w:t>Agatę Tyczkę</w:t>
      </w:r>
      <w:r>
        <w:rPr>
          <w:rFonts w:cs="Tahoma" w:ascii="Tahoma" w:hAnsi="Tahoma"/>
          <w:color w:val="FF0000"/>
          <w:sz w:val="20"/>
          <w:szCs w:val="20"/>
        </w:rPr>
        <w:t xml:space="preserve"> </w:t>
      </w:r>
      <w:r>
        <w:rPr>
          <w:rFonts w:cs="Tahoma" w:ascii="Tahoma" w:hAnsi="Tahoma"/>
          <w:sz w:val="20"/>
          <w:szCs w:val="20"/>
        </w:rPr>
        <w:t>jako osobę odpowiedzialną za Standardy Ochrony Małoletnich w placówce.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Osoba odpowiedzialna za Standardy Ochrony Małoletnich propaguje znajomość Standardów Ochrony Małoletnich wśród małoletnich, ich opiekunów i personelu placówki.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Osoba odpowiedzialna monitoruje realizację Standardów Ochrony Małoletnich, reaguje na sygnały naruszenia Standardów oraz prowadzi rejestr zgłoszeń. 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Raz na  2 lata osoba odpowiedzialna za Standardy Ochrony Małoletnich w placówce przeprowadza ankietę monitorującą poziom realizacji Standardów. Ankieta stanowi </w:t>
      </w:r>
      <w:r>
        <w:rPr>
          <w:rFonts w:cs="Tahoma" w:ascii="Tahoma" w:hAnsi="Tahoma"/>
          <w:i/>
          <w:iCs/>
          <w:sz w:val="20"/>
          <w:szCs w:val="20"/>
        </w:rPr>
        <w:t>Załącznik nr 8</w:t>
      </w:r>
      <w:r>
        <w:rPr>
          <w:rFonts w:cs="Tahoma" w:ascii="Tahoma" w:hAnsi="Tahoma"/>
          <w:sz w:val="20"/>
          <w:szCs w:val="20"/>
        </w:rPr>
        <w:t xml:space="preserve"> do niniejszych Standardów Ochrony Małoletnich.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Osoba odpowiedzialna </w:t>
      </w:r>
      <w:r>
        <w:rPr>
          <w:rFonts w:cs="Tahoma" w:ascii="Tahoma" w:hAnsi="Tahoma"/>
          <w:kern w:val="0"/>
          <w:sz w:val="20"/>
          <w:szCs w:val="20"/>
          <w14:ligatures w14:val="none"/>
        </w:rPr>
        <w:t>analizuje wypełnione przez pracowników placówki ankiety. Na podstawie ww. ankiet,</w:t>
      </w:r>
      <w:r>
        <w:rPr>
          <w:rFonts w:cs="Tahoma" w:ascii="Tahoma" w:hAnsi="Tahoma"/>
          <w:sz w:val="20"/>
          <w:szCs w:val="20"/>
        </w:rPr>
        <w:t xml:space="preserve"> osoba odpowiedzialna za Standardy Ochrony Małoletnich proponuje zmiany w niniejszym dokumencie. 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  </w:t>
      </w:r>
      <w:r>
        <w:rPr>
          <w:rFonts w:cs="Tahoma" w:ascii="Tahoma" w:hAnsi="Tahoma"/>
          <w:sz w:val="20"/>
          <w:szCs w:val="20"/>
        </w:rPr>
        <w:t>Dyrektor placówki wprowadza do Standardów Ochrony Małoletnich konieczne zmiany, po zapoznaniu się z propozycjami sporządzonymi przez osobę odpowiedzialną za Standardy. Dyrektor ogłasza pracownikom placówki, małoletnim i ich opiekunom nowe brzmienie Standardów w sposób dostępny dla pracowników placówki, dzieci i ich opiekunów, w szczególności poprzez wywieszenie w miejscu ogłoszeń dla pracowników lub poprzez przesłanie jej tekstu drogą elektroniczną oraz poprzez zamieszczenie na stronie internetowej i wywieszenie w widocznym miejscu w siedzibie placówki, również w wersji skróconej, przeznaczonej dla dzieci.</w:t>
      </w:r>
    </w:p>
    <w:p>
      <w:pPr>
        <w:pStyle w:val="ListParagraph"/>
        <w:spacing w:lineRule="auto" w:line="360" w:before="0" w:after="0"/>
        <w:contextualSpacing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cs="Tahoma" w:ascii="Tahoma" w:hAnsi="Tahoma"/>
          <w:color w:val="FF0000"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color w:val="FF0000"/>
          <w:sz w:val="20"/>
          <w:szCs w:val="20"/>
        </w:rPr>
      </w:pPr>
      <w:r>
        <w:rPr>
          <w:rFonts w:cs="Tahoma" w:ascii="Tahoma" w:hAnsi="Tahoma"/>
          <w:color w:val="FF0000"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color w:val="FF0000"/>
          <w:sz w:val="20"/>
          <w:szCs w:val="20"/>
        </w:rPr>
      </w:pPr>
      <w:r>
        <w:rPr>
          <w:rFonts w:cs="Tahoma" w:ascii="Tahoma" w:hAnsi="Tahoma"/>
          <w:color w:val="FF0000"/>
          <w:sz w:val="20"/>
          <w:szCs w:val="20"/>
        </w:rPr>
      </w:r>
    </w:p>
    <w:p>
      <w:pPr>
        <w:pStyle w:val="Nagwek1"/>
        <w:spacing w:lineRule="auto" w:line="360"/>
        <w:jc w:val="center"/>
        <w:rPr>
          <w:sz w:val="20"/>
          <w:szCs w:val="20"/>
        </w:rPr>
      </w:pPr>
      <w:bookmarkStart w:id="16" w:name="_Toc156466597"/>
      <w:r>
        <w:rPr>
          <w:rFonts w:cs="Tahoma" w:ascii="Tahoma" w:hAnsi="Tahoma"/>
          <w:b/>
          <w:bCs/>
          <w:color w:val="auto"/>
          <w:sz w:val="20"/>
          <w:szCs w:val="20"/>
        </w:rPr>
        <w:t>ROZDZIAŁ IX</w:t>
        <w:br/>
        <w:t>PRZEPISY KOŃCOWE</w:t>
      </w:r>
      <w:bookmarkEnd w:id="16"/>
    </w:p>
    <w:p>
      <w:pPr>
        <w:pStyle w:val="Normal"/>
        <w:spacing w:lineRule="auto" w:line="360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ListParagraph"/>
        <w:numPr>
          <w:ilvl w:val="0"/>
          <w:numId w:val="5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Standardy Ochrony Małoletnich wchodzą w życie z dniem ich ogłoszenia. </w:t>
      </w:r>
    </w:p>
    <w:p>
      <w:pPr>
        <w:pStyle w:val="ListParagraph"/>
        <w:numPr>
          <w:ilvl w:val="0"/>
          <w:numId w:val="5"/>
        </w:numPr>
        <w:spacing w:lineRule="auto" w:line="360"/>
        <w:jc w:val="both"/>
        <w:rPr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Ogłoszenie następuje w sposób dostępny dla pracowników placówki, dzieci i ich opiekunów, w szczególności poprzez wywieszenie na tablicy przeznaczonej dla personelu placówki lub poprzez przesłanie ich tekstu drogą elektroniczną pracownikom oraz poprzez zamieszczenie na stronie internetowej placówki i wywieszenie ich w widocznym miejscu w siedzibie przedszkola, również w wersji skróconej, przeznaczonej dla dzieci.</w:t>
      </w:r>
    </w:p>
    <w:p>
      <w:pPr>
        <w:pStyle w:val="Normal"/>
        <w:spacing w:lineRule="auto" w:line="360" w:before="0" w:after="160"/>
        <w:rPr>
          <w:sz w:val="20"/>
          <w:szCs w:val="20"/>
        </w:rPr>
      </w:pPr>
      <w:r>
        <w:rPr>
          <w:sz w:val="20"/>
          <w:szCs w:val="20"/>
        </w:rPr>
      </w:r>
    </w:p>
    <w:sectPr>
      <w:footerReference w:type="default" r:id="rId5"/>
      <w:type w:val="nextPage"/>
      <w:pgSz w:w="11906" w:h="16838"/>
      <w:pgMar w:left="1417" w:right="1417" w:gutter="0" w:header="0" w:top="1417" w:footer="708" w:bottom="1417"/>
      <w:pgNumType w:fmt="decimal"/>
      <w:formProt w:val="false"/>
      <w:titlePg/>
      <w:textDirection w:val="lrTb"/>
      <w:docGrid w:type="default" w:linePitch="360" w:charSpace="4096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Kancelaria Kowalak Jędrzejewska" w:date="2024-01-15T12:29:00Z" w:initials="KJ">
    <w:p>
      <w:r>
        <w:rPr>
          <w:rFonts w:ascii="Liberation Serif" w:hAnsi="Liberation Serif" w:eastAsia="Segoe UI" w:cs="Tahoma"/>
          <w:color w:val="FF0000"/>
          <w:kern w:val="0"/>
          <w:sz w:val="24"/>
          <w:szCs w:val="24"/>
          <w:lang w:val="en-US" w:eastAsia="en-US" w:bidi="en-US"/>
        </w:rPr>
        <w:t>Treść preambuły może być dostosowania do specyfiki placówki. Niniejsza preambuła może być modyfikowana - rozszerzana/pomniejszana. Niektóre placówki zamieszczają w preambule motto przyświecające placówce.</w:t>
      </w:r>
    </w:p>
  </w:comment>
  <w:comment w:id="1" w:author="Kancelaria Kowalak Jędrzejewska" w:date="2024-01-18T09:54:00Z" w:initials="KJ">
    <w:p>
      <w:r>
        <w:rPr>
          <w:rFonts w:ascii="Liberation Serif" w:hAnsi="Liberation Serif" w:eastAsia="Segoe UI" w:cs="Tahoma"/>
          <w:b/>
          <w:bCs/>
          <w:kern w:val="0"/>
          <w:sz w:val="24"/>
          <w:szCs w:val="24"/>
          <w:lang w:val="en-US" w:eastAsia="en-US" w:bidi="en-US"/>
        </w:rPr>
        <w:t>Ustawodawca wymaga wskazania osób odpowiedzialnych za składanie zawiadomień o podejrzeniu popełnienia przestępstwa na szkodę małoletniego, zawiadamianie sądu opiekuńczego oraz w przypadku instytucji, które posiadają takie uprawnienia, osoby odpowiedzialne za wszczynanie procedury „Niebieskie Karty</w:t>
      </w:r>
    </w:p>
  </w:comment>
  <w:comment w:id="2" w:author="Kancelaria Kowalak Jędrzejewska" w:date="2024-01-15T12:42:00Z" w:initials="KJ">
    <w:p>
      <w:r>
        <w:rPr>
          <w:rFonts w:ascii="Liberation Serif" w:hAnsi="Liberation Serif" w:eastAsia="Segoe UI" w:cs="Tahoma"/>
          <w:color w:val="FF0000"/>
          <w:kern w:val="0"/>
          <w:sz w:val="24"/>
          <w:szCs w:val="24"/>
          <w:lang w:val="en-US" w:eastAsia="en-US" w:bidi="en-US"/>
        </w:rPr>
        <w:t>Postanowienia tego rozdziału powinny być zgodne z Polityką Bezpieczeństwa Przetwarzania Danych Osobowych w placówce.</w:t>
      </w:r>
    </w:p>
  </w:comment>
  <w:comment w:id="3" w:author="Kancelaria Kowalak Jędrzejewska" w:date="2024-01-16T13:35:00Z" w:initials="KJ">
    <w:p>
      <w:r>
        <w:rPr>
          <w:rFonts w:ascii="Liberation Serif" w:hAnsi="Liberation Serif" w:eastAsia="Segoe UI" w:cs="Tahoma"/>
          <w:color w:val="FF0000"/>
          <w:kern w:val="0"/>
          <w:sz w:val="24"/>
          <w:szCs w:val="24"/>
          <w:lang w:val="en-US" w:eastAsia="en-US" w:bidi="en-US"/>
        </w:rPr>
        <w:t>Postanowienie fakultatywne - w razie potrzeby.</w:t>
      </w:r>
    </w:p>
  </w:comment>
  <w:comment w:id="4" w:author="Terminal" w:date="2024-01-12T00:06:00Z" w:initials="Te">
    <w:p>
      <w:r>
        <w:rPr>
          <w:rFonts w:ascii="Liberation Serif" w:hAnsi="Liberation Serif" w:eastAsia="Segoe UI" w:cs="Tahoma"/>
          <w:color w:val="FF0000"/>
          <w:kern w:val="0"/>
          <w:sz w:val="24"/>
          <w:szCs w:val="24"/>
          <w:lang w:val="en-US" w:eastAsia="en-US" w:bidi="en-US"/>
        </w:rPr>
        <w:t>Osoba odpowiedzialna za internet - postanowienie obligatoryjne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78870733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83680689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64923190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30899711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68611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686110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6485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b6485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b64854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c9790b"/>
    <w:rPr/>
  </w:style>
  <w:style w:type="character" w:styleId="StopkaZnak" w:customStyle="1">
    <w:name w:val="Stopka Znak"/>
    <w:basedOn w:val="DefaultParagraphFont"/>
    <w:uiPriority w:val="99"/>
    <w:qFormat/>
    <w:rsid w:val="00c9790b"/>
    <w:rPr/>
  </w:style>
  <w:style w:type="character" w:styleId="Czeinternetowe">
    <w:name w:val="Łącze internetowe"/>
    <w:basedOn w:val="DefaultParagraphFont"/>
    <w:uiPriority w:val="99"/>
    <w:unhideWhenUsed/>
    <w:rsid w:val="00f8683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8683e"/>
    <w:rPr>
      <w:b/>
      <w:bCs/>
    </w:rPr>
  </w:style>
  <w:style w:type="character" w:styleId="Czeindeksu">
    <w:name w:val="Łącze indeks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b6485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64854"/>
    <w:pPr/>
    <w:rPr>
      <w:b/>
      <w:bCs/>
    </w:rPr>
  </w:style>
  <w:style w:type="paragraph" w:styleId="TreA" w:customStyle="1">
    <w:name w:val="Treść A"/>
    <w:qFormat/>
    <w:rsid w:val="00c6554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Arial Unicode MS"/>
      <w:color w:val="000000"/>
      <w:kern w:val="2"/>
      <w:sz w:val="24"/>
      <w:szCs w:val="24"/>
      <w:u w:val="none" w:color="000000"/>
      <w:lang w:eastAsia="zh-CN" w:bidi="hi-IN" w:val="pl-PL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c9790b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c9790b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2c4803"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365fe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unhideWhenUsed/>
    <w:qFormat/>
    <w:rsid w:val="009b257b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"/>
    <w:next w:val="Normal"/>
    <w:autoRedefine/>
    <w:uiPriority w:val="39"/>
    <w:unhideWhenUsed/>
    <w:rsid w:val="005704a9"/>
    <w:pPr>
      <w:tabs>
        <w:tab w:val="clear" w:pos="708"/>
        <w:tab w:val="right" w:pos="9062" w:leader="dot"/>
      </w:tabs>
      <w:spacing w:lineRule="auto" w:line="360" w:before="0" w:after="10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E00B7-600F-4B60-B0B0-951DA7A3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LibreOffice/7.3.4.2$Windows_X86_64 LibreOffice_project/728fec16bd5f605073805c3c9e7c4212a0120dc5</Application>
  <AppVersion>15.0000</AppVersion>
  <Pages>14</Pages>
  <Words>2691</Words>
  <Characters>18758</Characters>
  <CharactersWithSpaces>21313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2024-01-10T08:32:00Z</dcterms:created>
  <dc:creator>Kancelaria Kowalak Jędrzejewska</dc:creator>
  <dc:description/>
  <dc:language>pl-PL</dc:language>
  <cp:lastModifiedBy/>
  <cp:lastPrinted>2026-03-03T19:48:09Z</cp:lastPrinted>
  <dcterms:modified xsi:type="dcterms:W3CDTF">2026-03-03T19:49:23Z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